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D1591" w14:textId="77777777" w:rsidR="007B6B54" w:rsidRPr="007B6B54" w:rsidRDefault="007B6B54" w:rsidP="007B6B54">
      <w:pPr>
        <w:keepNext/>
        <w:keepLines/>
        <w:spacing w:before="240" w:after="0" w:line="240" w:lineRule="auto"/>
        <w:jc w:val="right"/>
        <w:outlineLvl w:val="0"/>
        <w:rPr>
          <w:rFonts w:ascii="Arial" w:eastAsiaTheme="majorEastAsia" w:hAnsi="Arial" w:cstheme="majorBidi"/>
          <w:b/>
          <w:sz w:val="24"/>
          <w:szCs w:val="32"/>
          <w:lang w:eastAsia="pl-PL"/>
        </w:rPr>
      </w:pPr>
      <w:r w:rsidRPr="007B6B54">
        <w:rPr>
          <w:rFonts w:ascii="Arial" w:eastAsiaTheme="majorEastAsia" w:hAnsi="Arial" w:cstheme="majorBidi"/>
          <w:b/>
          <w:sz w:val="24"/>
          <w:szCs w:val="32"/>
          <w:lang w:eastAsia="pl-PL"/>
        </w:rPr>
        <w:t>Załącznik do Zarządzenia Nr 100/2021/ W</w:t>
      </w:r>
    </w:p>
    <w:p w14:paraId="26812794" w14:textId="77777777" w:rsidR="007B6B54" w:rsidRPr="007B6B54" w:rsidRDefault="007B6B54" w:rsidP="007B6B54">
      <w:pPr>
        <w:keepNext/>
        <w:keepLines/>
        <w:spacing w:before="240" w:after="0" w:line="240" w:lineRule="auto"/>
        <w:jc w:val="right"/>
        <w:outlineLvl w:val="0"/>
        <w:rPr>
          <w:rFonts w:ascii="Arial" w:eastAsiaTheme="majorEastAsia" w:hAnsi="Arial" w:cstheme="majorBidi"/>
          <w:b/>
          <w:sz w:val="24"/>
          <w:szCs w:val="32"/>
          <w:lang w:eastAsia="pl-PL"/>
        </w:rPr>
      </w:pPr>
      <w:r w:rsidRPr="007B6B54">
        <w:rPr>
          <w:rFonts w:ascii="Arial" w:eastAsiaTheme="majorEastAsia" w:hAnsi="Arial" w:cstheme="majorBidi"/>
          <w:b/>
          <w:sz w:val="24"/>
          <w:szCs w:val="32"/>
          <w:lang w:eastAsia="pl-PL"/>
        </w:rPr>
        <w:t>Wójta Gminy Lubochnia z dnia 20.12.2021 r.</w:t>
      </w:r>
    </w:p>
    <w:p w14:paraId="43D832AE" w14:textId="77777777" w:rsidR="007B6B54" w:rsidRPr="007B6B54" w:rsidRDefault="007B6B54" w:rsidP="007B6B54">
      <w:pPr>
        <w:keepNext/>
        <w:keepLines/>
        <w:spacing w:before="40" w:after="0" w:line="360" w:lineRule="auto"/>
        <w:outlineLvl w:val="1"/>
        <w:rPr>
          <w:rFonts w:ascii="Arial" w:eastAsiaTheme="majorEastAsia" w:hAnsi="Arial" w:cstheme="majorBidi"/>
          <w:sz w:val="26"/>
          <w:szCs w:val="26"/>
          <w:lang w:eastAsia="pl-PL"/>
        </w:rPr>
      </w:pPr>
    </w:p>
    <w:p w14:paraId="581D15DA" w14:textId="77777777" w:rsidR="007B6B54" w:rsidRPr="007B6B54" w:rsidRDefault="007B6B54" w:rsidP="007B6B54">
      <w:pPr>
        <w:keepNext/>
        <w:keepLines/>
        <w:spacing w:before="40" w:after="0" w:line="360" w:lineRule="auto"/>
        <w:jc w:val="center"/>
        <w:outlineLvl w:val="1"/>
        <w:rPr>
          <w:rFonts w:ascii="Arial" w:eastAsiaTheme="majorEastAsia" w:hAnsi="Arial" w:cs="Arial"/>
          <w:sz w:val="24"/>
          <w:szCs w:val="24"/>
          <w:lang w:eastAsia="pl-PL"/>
        </w:rPr>
      </w:pPr>
      <w:r w:rsidRPr="007B6B54">
        <w:rPr>
          <w:rFonts w:ascii="Arial" w:eastAsiaTheme="majorEastAsia" w:hAnsi="Arial" w:cs="Arial"/>
          <w:sz w:val="24"/>
          <w:szCs w:val="24"/>
          <w:lang w:eastAsia="pl-PL"/>
        </w:rPr>
        <w:t>Wykaz  nieruchomości</w:t>
      </w:r>
    </w:p>
    <w:p w14:paraId="6EDC2176" w14:textId="77777777" w:rsidR="007B6B54" w:rsidRPr="007B6B54" w:rsidRDefault="007B6B54" w:rsidP="007B6B54">
      <w:pPr>
        <w:keepNext/>
        <w:keepLines/>
        <w:spacing w:before="40" w:after="0" w:line="360" w:lineRule="auto"/>
        <w:jc w:val="center"/>
        <w:outlineLvl w:val="1"/>
        <w:rPr>
          <w:rFonts w:ascii="Arial" w:eastAsiaTheme="majorEastAsia" w:hAnsi="Arial" w:cs="Arial"/>
          <w:sz w:val="24"/>
          <w:szCs w:val="24"/>
          <w:lang w:eastAsia="pl-PL"/>
        </w:rPr>
      </w:pPr>
      <w:r w:rsidRPr="007B6B54">
        <w:rPr>
          <w:rFonts w:ascii="Arial" w:eastAsiaTheme="majorEastAsia" w:hAnsi="Arial" w:cs="Arial"/>
          <w:bCs/>
          <w:sz w:val="24"/>
          <w:szCs w:val="24"/>
          <w:lang w:eastAsia="pl-PL"/>
        </w:rPr>
        <w:t>stanowiących własność Gminy Lubochnia przeznaczonych do sprzedaży w drodze przetargu pisemnego nieograniczonego</w:t>
      </w:r>
    </w:p>
    <w:p w14:paraId="0DFCA0D5" w14:textId="77777777" w:rsidR="007B6B54" w:rsidRPr="007B6B54" w:rsidRDefault="007B6B54" w:rsidP="007B6B54">
      <w:pPr>
        <w:spacing w:before="240" w:after="200" w:line="240" w:lineRule="auto"/>
        <w:rPr>
          <w:rFonts w:ascii="Arial" w:eastAsiaTheme="minorEastAsia" w:hAnsi="Arial" w:cs="Arial"/>
          <w:bCs/>
          <w:sz w:val="24"/>
          <w:szCs w:val="24"/>
          <w:lang w:eastAsia="pl-PL"/>
        </w:rPr>
      </w:pPr>
      <w:r w:rsidRPr="007B6B54">
        <w:rPr>
          <w:rFonts w:ascii="Arial" w:eastAsiaTheme="minorEastAsia" w:hAnsi="Arial" w:cs="Arial"/>
          <w:bCs/>
          <w:sz w:val="24"/>
          <w:szCs w:val="24"/>
          <w:lang w:eastAsia="pl-PL"/>
        </w:rPr>
        <w:t>I.</w:t>
      </w:r>
    </w:p>
    <w:p w14:paraId="2FB2D3B0" w14:textId="77777777" w:rsidR="007B6B54" w:rsidRPr="007B6B54" w:rsidRDefault="007B6B54" w:rsidP="007B6B54">
      <w:pPr>
        <w:keepNext/>
        <w:keepLines/>
        <w:spacing w:before="240" w:after="200" w:line="276" w:lineRule="auto"/>
        <w:outlineLvl w:val="2"/>
        <w:rPr>
          <w:rFonts w:ascii="Arial" w:eastAsiaTheme="majorEastAsia" w:hAnsi="Arial" w:cstheme="majorBidi"/>
          <w:bCs/>
          <w:sz w:val="23"/>
          <w:szCs w:val="24"/>
          <w:lang w:eastAsia="pl-PL"/>
        </w:rPr>
      </w:pPr>
      <w:r w:rsidRPr="007B6B54">
        <w:rPr>
          <w:rFonts w:ascii="Arial" w:eastAsiaTheme="majorEastAsia" w:hAnsi="Arial" w:cstheme="majorBidi"/>
          <w:b/>
          <w:sz w:val="23"/>
          <w:szCs w:val="24"/>
          <w:lang w:eastAsia="pl-PL"/>
        </w:rPr>
        <w:t>1.Oznaczenie nieruchomości zgodnie z katastrem nieruchomości i księgą wieczystą</w:t>
      </w:r>
      <w:r w:rsidRPr="007B6B54">
        <w:rPr>
          <w:rFonts w:ascii="Arial" w:eastAsiaTheme="majorEastAsia" w:hAnsi="Arial" w:cstheme="majorBidi"/>
          <w:bCs/>
          <w:sz w:val="23"/>
          <w:szCs w:val="24"/>
          <w:lang w:eastAsia="pl-PL"/>
        </w:rPr>
        <w:t xml:space="preserve">- </w:t>
      </w:r>
      <w:r w:rsidRPr="007B6B54">
        <w:rPr>
          <w:rFonts w:ascii="Arial" w:eastAsiaTheme="majorEastAsia" w:hAnsi="Arial" w:cs="Arial"/>
          <w:bCs/>
          <w:sz w:val="23"/>
          <w:szCs w:val="23"/>
          <w:lang w:eastAsia="pl-PL"/>
        </w:rPr>
        <w:t xml:space="preserve">Nieruchomość oznaczona nr dz. 276 o pow. 0,30 ha, obręb geodezyjny 0008-Glinnik Nowy, jednostce ewidencyjnej Lubochnia, gmina Lubochnia, powiat tomaszowski, dla której w Sądzie Rejonowym w Tomaszowie </w:t>
      </w:r>
      <w:proofErr w:type="spellStart"/>
      <w:r w:rsidRPr="007B6B54">
        <w:rPr>
          <w:rFonts w:ascii="Arial" w:eastAsiaTheme="majorEastAsia" w:hAnsi="Arial" w:cs="Arial"/>
          <w:bCs/>
          <w:sz w:val="23"/>
          <w:szCs w:val="23"/>
          <w:lang w:eastAsia="pl-PL"/>
        </w:rPr>
        <w:t>Maz</w:t>
      </w:r>
      <w:proofErr w:type="spellEnd"/>
      <w:r w:rsidRPr="007B6B54">
        <w:rPr>
          <w:rFonts w:ascii="Arial" w:eastAsiaTheme="majorEastAsia" w:hAnsi="Arial" w:cs="Arial"/>
          <w:bCs/>
          <w:sz w:val="23"/>
          <w:szCs w:val="23"/>
          <w:lang w:eastAsia="pl-PL"/>
        </w:rPr>
        <w:t>., V Wydziale Ksiąg Wieczystych prowadzona księga wieczysta nr PT1T/00036893/6, rodzaj użytku R.</w:t>
      </w:r>
    </w:p>
    <w:p w14:paraId="7A6FC546" w14:textId="77777777" w:rsidR="007B6B54" w:rsidRPr="007B6B54" w:rsidRDefault="007B6B54" w:rsidP="007B6B54">
      <w:pPr>
        <w:spacing w:before="240" w:after="200" w:line="360" w:lineRule="auto"/>
        <w:rPr>
          <w:rFonts w:ascii="Arial" w:eastAsiaTheme="minorEastAsia" w:hAnsi="Arial" w:cs="Arial"/>
          <w:bCs/>
          <w:sz w:val="23"/>
          <w:szCs w:val="23"/>
          <w:lang w:eastAsia="pl-PL"/>
        </w:rPr>
      </w:pPr>
      <w:r w:rsidRPr="007B6B54">
        <w:rPr>
          <w:rFonts w:ascii="Arial" w:eastAsiaTheme="majorEastAsia" w:hAnsi="Arial" w:cstheme="majorBidi"/>
          <w:b/>
          <w:sz w:val="23"/>
          <w:szCs w:val="24"/>
          <w:lang w:eastAsia="pl-PL"/>
        </w:rPr>
        <w:t>2. Powierzchnia nieruchomości</w:t>
      </w:r>
      <w:r w:rsidRPr="007B6B54">
        <w:rPr>
          <w:rFonts w:ascii="Arial" w:eastAsiaTheme="minorEastAsia" w:hAnsi="Arial" w:cs="Arial"/>
          <w:bCs/>
          <w:sz w:val="23"/>
          <w:szCs w:val="23"/>
          <w:lang w:eastAsia="pl-PL"/>
        </w:rPr>
        <w:t xml:space="preserve"> – 0,30 ha.</w:t>
      </w:r>
    </w:p>
    <w:p w14:paraId="2CF0136E" w14:textId="77777777" w:rsidR="007B6B54" w:rsidRPr="007B6B54" w:rsidRDefault="007B6B54" w:rsidP="007B6B54">
      <w:pPr>
        <w:spacing w:before="240" w:after="200" w:line="360" w:lineRule="auto"/>
        <w:rPr>
          <w:rFonts w:ascii="Arial" w:eastAsiaTheme="minorEastAsia" w:hAnsi="Arial" w:cs="Arial"/>
          <w:bCs/>
          <w:sz w:val="23"/>
          <w:szCs w:val="23"/>
          <w:lang w:eastAsia="pl-PL"/>
        </w:rPr>
      </w:pPr>
      <w:r w:rsidRPr="007B6B54">
        <w:rPr>
          <w:rFonts w:ascii="Arial" w:eastAsiaTheme="majorEastAsia" w:hAnsi="Arial" w:cstheme="majorBidi"/>
          <w:b/>
          <w:sz w:val="23"/>
          <w:szCs w:val="24"/>
          <w:lang w:eastAsia="pl-PL"/>
        </w:rPr>
        <w:t>3. Opis nieruchomości</w:t>
      </w:r>
      <w:r w:rsidRPr="007B6B54">
        <w:rPr>
          <w:rFonts w:ascii="Arial" w:eastAsiaTheme="minorEastAsia" w:hAnsi="Arial" w:cs="Arial"/>
          <w:bCs/>
          <w:sz w:val="23"/>
          <w:szCs w:val="23"/>
          <w:lang w:eastAsia="pl-PL"/>
        </w:rPr>
        <w:t xml:space="preserve"> – Jest to nieruchomość niezabudowana, klasa gruntu </w:t>
      </w:r>
      <w:proofErr w:type="spellStart"/>
      <w:r w:rsidRPr="007B6B54">
        <w:rPr>
          <w:rFonts w:ascii="Arial" w:eastAsiaTheme="minorEastAsia" w:hAnsi="Arial" w:cs="Arial"/>
          <w:bCs/>
          <w:sz w:val="23"/>
          <w:szCs w:val="23"/>
          <w:lang w:eastAsia="pl-PL"/>
        </w:rPr>
        <w:t>IVb</w:t>
      </w:r>
      <w:proofErr w:type="spellEnd"/>
      <w:r w:rsidRPr="007B6B54">
        <w:rPr>
          <w:rFonts w:ascii="Arial" w:eastAsiaTheme="minorEastAsia" w:hAnsi="Arial" w:cs="Arial"/>
          <w:bCs/>
          <w:sz w:val="23"/>
          <w:szCs w:val="23"/>
          <w:lang w:eastAsia="pl-PL"/>
        </w:rPr>
        <w:t xml:space="preserve">, V, użytkowana rolniczo, w kształcie prostokąta, nieogrodzona. Nie posiada podłączenia do sieci wodociągowej i energetycznej. Działka posiada dostęp do drogi gminnej. </w:t>
      </w:r>
    </w:p>
    <w:p w14:paraId="11262653" w14:textId="77777777" w:rsidR="007B6B54" w:rsidRPr="007B6B54" w:rsidRDefault="007B6B54" w:rsidP="007B6B54">
      <w:pPr>
        <w:spacing w:before="240" w:after="0" w:line="360" w:lineRule="auto"/>
        <w:rPr>
          <w:rFonts w:ascii="Arial" w:eastAsiaTheme="minorEastAsia" w:hAnsi="Arial" w:cs="Arial"/>
          <w:bCs/>
          <w:sz w:val="23"/>
          <w:szCs w:val="23"/>
          <w:lang w:eastAsia="pl-PL"/>
        </w:rPr>
      </w:pPr>
      <w:r w:rsidRPr="007B6B54">
        <w:rPr>
          <w:rFonts w:ascii="Arial" w:eastAsiaTheme="majorEastAsia" w:hAnsi="Arial" w:cstheme="majorBidi"/>
          <w:b/>
          <w:sz w:val="23"/>
          <w:szCs w:val="24"/>
          <w:lang w:eastAsia="pl-PL"/>
        </w:rPr>
        <w:t>4. Przeznaczenie nieruchomości i sposób jej zagospodarowania</w:t>
      </w:r>
      <w:r w:rsidRPr="007B6B54">
        <w:rPr>
          <w:rFonts w:ascii="Arial" w:eastAsiaTheme="minorEastAsia" w:hAnsi="Arial" w:cs="Arial"/>
          <w:bCs/>
          <w:sz w:val="23"/>
          <w:szCs w:val="23"/>
          <w:lang w:eastAsia="pl-PL"/>
        </w:rPr>
        <w:t xml:space="preserve"> – brak miejscowego planu zagospodarowania przestrzennego. Zgodnie ze Studium uwarunkowań i kierunków zagospodarowania przestrzennego działka oznaczona jako </w:t>
      </w:r>
      <w:r w:rsidRPr="007B6B54">
        <w:rPr>
          <w:rFonts w:ascii="Arial" w:eastAsiaTheme="minorEastAsia" w:hAnsi="Arial" w:cs="Arial"/>
          <w:bCs/>
          <w:sz w:val="23"/>
          <w:szCs w:val="23"/>
          <w:lang w:eastAsia="pl-PL"/>
        </w:rPr>
        <w:br/>
        <w:t>R- teren o dominującym przeznaczeniu pod użytki rolne z zakazem zabudowy.</w:t>
      </w:r>
    </w:p>
    <w:p w14:paraId="7F98FCF0" w14:textId="77777777" w:rsidR="007B6B54" w:rsidRPr="007B6B54" w:rsidRDefault="007B6B54" w:rsidP="007B6B54">
      <w:pPr>
        <w:spacing w:before="240" w:after="0" w:line="360" w:lineRule="auto"/>
        <w:rPr>
          <w:rFonts w:ascii="Arial" w:eastAsiaTheme="minorEastAsia" w:hAnsi="Arial" w:cs="Arial"/>
          <w:bCs/>
          <w:sz w:val="23"/>
          <w:szCs w:val="23"/>
          <w:lang w:eastAsia="pl-PL"/>
        </w:rPr>
      </w:pPr>
      <w:r w:rsidRPr="007B6B54">
        <w:rPr>
          <w:rFonts w:ascii="Arial" w:eastAsiaTheme="minorEastAsia" w:hAnsi="Arial" w:cs="Arial"/>
          <w:b/>
          <w:sz w:val="23"/>
          <w:szCs w:val="23"/>
          <w:lang w:eastAsia="pl-PL"/>
        </w:rPr>
        <w:t>5. Termin zagospodarowania nieruchomości</w:t>
      </w:r>
      <w:r w:rsidRPr="007B6B54">
        <w:rPr>
          <w:rFonts w:ascii="Arial" w:eastAsiaTheme="minorEastAsia" w:hAnsi="Arial" w:cs="Arial"/>
          <w:bCs/>
          <w:sz w:val="23"/>
          <w:szCs w:val="23"/>
          <w:lang w:eastAsia="pl-PL"/>
        </w:rPr>
        <w:t>- nie dotyczy</w:t>
      </w:r>
    </w:p>
    <w:p w14:paraId="2B2C8BA2" w14:textId="77777777" w:rsidR="007B6B54" w:rsidRPr="007B6B54" w:rsidRDefault="007B6B54" w:rsidP="007B6B54">
      <w:pPr>
        <w:spacing w:before="240" w:after="200" w:line="360" w:lineRule="auto"/>
        <w:rPr>
          <w:rFonts w:ascii="Arial" w:eastAsiaTheme="minorEastAsia" w:hAnsi="Arial" w:cs="Arial"/>
          <w:bCs/>
          <w:sz w:val="23"/>
          <w:szCs w:val="23"/>
          <w:lang w:eastAsia="pl-PL"/>
        </w:rPr>
      </w:pPr>
      <w:r w:rsidRPr="007B6B54">
        <w:rPr>
          <w:rFonts w:ascii="Arial" w:eastAsiaTheme="minorEastAsia" w:hAnsi="Arial" w:cs="Arial"/>
          <w:b/>
          <w:sz w:val="23"/>
          <w:szCs w:val="23"/>
          <w:lang w:eastAsia="pl-PL"/>
        </w:rPr>
        <w:t>6. Cena nieruchomości</w:t>
      </w:r>
      <w:r w:rsidRPr="007B6B54">
        <w:rPr>
          <w:rFonts w:ascii="Arial" w:eastAsiaTheme="minorEastAsia" w:hAnsi="Arial" w:cs="Arial"/>
          <w:bCs/>
          <w:sz w:val="23"/>
          <w:szCs w:val="23"/>
          <w:lang w:eastAsia="pl-PL"/>
        </w:rPr>
        <w:t xml:space="preserve">-  </w:t>
      </w:r>
      <w:r w:rsidRPr="007B6B54">
        <w:rPr>
          <w:rFonts w:ascii="Arial" w:eastAsiaTheme="minorEastAsia" w:hAnsi="Arial" w:cs="Arial"/>
          <w:b/>
          <w:sz w:val="23"/>
          <w:szCs w:val="23"/>
          <w:lang w:eastAsia="pl-PL"/>
        </w:rPr>
        <w:t>9.224,00 zł</w:t>
      </w:r>
      <w:r w:rsidRPr="007B6B54">
        <w:rPr>
          <w:rFonts w:ascii="Arial" w:eastAsiaTheme="minorEastAsia" w:hAnsi="Arial" w:cs="Arial"/>
          <w:bCs/>
          <w:sz w:val="23"/>
          <w:szCs w:val="23"/>
          <w:lang w:eastAsia="pl-PL"/>
        </w:rPr>
        <w:t xml:space="preserve"> (słownie: dziewięć tysięcy dwieście dwadzieścia cztery złote).</w:t>
      </w:r>
    </w:p>
    <w:p w14:paraId="66F596D9" w14:textId="77777777" w:rsidR="007B6B54" w:rsidRPr="007B6B54" w:rsidRDefault="007B6B54" w:rsidP="007B6B54">
      <w:pPr>
        <w:spacing w:before="240" w:after="200" w:line="360" w:lineRule="auto"/>
        <w:rPr>
          <w:rFonts w:ascii="Arial" w:eastAsiaTheme="minorEastAsia" w:hAnsi="Arial" w:cs="Arial"/>
          <w:bCs/>
          <w:sz w:val="23"/>
          <w:szCs w:val="23"/>
          <w:lang w:eastAsia="pl-PL"/>
        </w:rPr>
      </w:pPr>
      <w:r w:rsidRPr="007B6B54">
        <w:rPr>
          <w:rFonts w:ascii="Arial" w:eastAsiaTheme="minorEastAsia" w:hAnsi="Arial" w:cs="Arial"/>
          <w:b/>
          <w:sz w:val="23"/>
          <w:szCs w:val="23"/>
          <w:lang w:eastAsia="pl-PL"/>
        </w:rPr>
        <w:t>7. Wysokość stawek procentowych opłat z tytułu użytkowania wieczystego</w:t>
      </w:r>
      <w:r w:rsidRPr="007B6B54">
        <w:rPr>
          <w:rFonts w:ascii="Arial" w:eastAsiaTheme="minorEastAsia" w:hAnsi="Arial" w:cs="Arial"/>
          <w:bCs/>
          <w:sz w:val="23"/>
          <w:szCs w:val="23"/>
          <w:lang w:eastAsia="pl-PL"/>
        </w:rPr>
        <w:t>- nie dotyczy</w:t>
      </w:r>
    </w:p>
    <w:p w14:paraId="76A8EA3B" w14:textId="77777777" w:rsidR="007B6B54" w:rsidRPr="007B6B54" w:rsidRDefault="007B6B54" w:rsidP="007B6B54">
      <w:pPr>
        <w:spacing w:before="240" w:after="200" w:line="360" w:lineRule="auto"/>
        <w:rPr>
          <w:rFonts w:ascii="Arial" w:eastAsiaTheme="minorEastAsia" w:hAnsi="Arial" w:cs="Arial"/>
          <w:bCs/>
          <w:sz w:val="23"/>
          <w:szCs w:val="23"/>
          <w:lang w:eastAsia="pl-PL"/>
        </w:rPr>
      </w:pPr>
      <w:r w:rsidRPr="007B6B54">
        <w:rPr>
          <w:rFonts w:ascii="Arial" w:eastAsiaTheme="minorEastAsia" w:hAnsi="Arial" w:cs="Arial"/>
          <w:b/>
          <w:sz w:val="23"/>
          <w:szCs w:val="23"/>
          <w:lang w:eastAsia="pl-PL"/>
        </w:rPr>
        <w:t>8. Wysokość opłat z tytułu użytkowania, najmu lub dzierżawy</w:t>
      </w:r>
      <w:r w:rsidRPr="007B6B54">
        <w:rPr>
          <w:rFonts w:ascii="Arial" w:eastAsiaTheme="minorEastAsia" w:hAnsi="Arial" w:cs="Arial"/>
          <w:bCs/>
          <w:sz w:val="23"/>
          <w:szCs w:val="23"/>
          <w:lang w:eastAsia="pl-PL"/>
        </w:rPr>
        <w:t>- nie dotyczy</w:t>
      </w:r>
    </w:p>
    <w:p w14:paraId="492ECCBF" w14:textId="77777777" w:rsidR="007B6B54" w:rsidRPr="007B6B54" w:rsidRDefault="007B6B54" w:rsidP="007B6B54">
      <w:pPr>
        <w:spacing w:before="240" w:after="200" w:line="360" w:lineRule="auto"/>
        <w:rPr>
          <w:rFonts w:ascii="Arial" w:eastAsiaTheme="minorEastAsia" w:hAnsi="Arial" w:cs="Arial"/>
          <w:bCs/>
          <w:sz w:val="23"/>
          <w:szCs w:val="23"/>
          <w:lang w:eastAsia="pl-PL"/>
        </w:rPr>
      </w:pPr>
      <w:r w:rsidRPr="007B6B54">
        <w:rPr>
          <w:rFonts w:ascii="Arial" w:eastAsiaTheme="minorEastAsia" w:hAnsi="Arial" w:cs="Arial"/>
          <w:b/>
          <w:sz w:val="23"/>
          <w:szCs w:val="23"/>
          <w:lang w:eastAsia="pl-PL"/>
        </w:rPr>
        <w:t>9. Terminy wnoszenia opłat-</w:t>
      </w:r>
      <w:r w:rsidRPr="007B6B54">
        <w:rPr>
          <w:rFonts w:ascii="Arial" w:eastAsiaTheme="minorEastAsia" w:hAnsi="Arial" w:cs="Arial"/>
          <w:bCs/>
          <w:sz w:val="23"/>
          <w:szCs w:val="23"/>
          <w:lang w:eastAsia="pl-PL"/>
        </w:rPr>
        <w:t xml:space="preserve"> nie dotyczy</w:t>
      </w:r>
    </w:p>
    <w:p w14:paraId="2371AA35" w14:textId="77777777" w:rsidR="007B6B54" w:rsidRPr="007B6B54" w:rsidRDefault="007B6B54" w:rsidP="007B6B54">
      <w:pPr>
        <w:spacing w:before="240" w:after="200" w:line="360" w:lineRule="auto"/>
        <w:rPr>
          <w:rFonts w:ascii="Arial" w:eastAsiaTheme="minorEastAsia" w:hAnsi="Arial" w:cs="Arial"/>
          <w:bCs/>
          <w:sz w:val="23"/>
          <w:szCs w:val="23"/>
          <w:lang w:eastAsia="pl-PL"/>
        </w:rPr>
      </w:pPr>
      <w:r w:rsidRPr="007B6B54">
        <w:rPr>
          <w:rFonts w:ascii="Arial" w:eastAsiaTheme="minorEastAsia" w:hAnsi="Arial" w:cs="Arial"/>
          <w:b/>
          <w:sz w:val="23"/>
          <w:szCs w:val="23"/>
          <w:lang w:eastAsia="pl-PL"/>
        </w:rPr>
        <w:t>10. Zasady aktualizacji opłat</w:t>
      </w:r>
      <w:r w:rsidRPr="007B6B54">
        <w:rPr>
          <w:rFonts w:ascii="Arial" w:eastAsiaTheme="minorEastAsia" w:hAnsi="Arial" w:cs="Arial"/>
          <w:bCs/>
          <w:sz w:val="23"/>
          <w:szCs w:val="23"/>
          <w:lang w:eastAsia="pl-PL"/>
        </w:rPr>
        <w:t>- nie dotyczy</w:t>
      </w:r>
    </w:p>
    <w:p w14:paraId="5A9B7F88" w14:textId="77777777" w:rsidR="007B6B54" w:rsidRPr="007B6B54" w:rsidRDefault="007B6B54" w:rsidP="007B6B54">
      <w:pPr>
        <w:spacing w:before="240" w:after="200" w:line="360" w:lineRule="auto"/>
        <w:rPr>
          <w:rFonts w:ascii="Arial" w:eastAsiaTheme="minorEastAsia" w:hAnsi="Arial" w:cs="Arial"/>
          <w:bCs/>
          <w:i/>
          <w:sz w:val="23"/>
          <w:szCs w:val="23"/>
          <w:lang w:eastAsia="pl-PL"/>
        </w:rPr>
      </w:pPr>
      <w:r w:rsidRPr="007B6B54">
        <w:rPr>
          <w:rFonts w:ascii="Arial" w:eastAsiaTheme="minorEastAsia" w:hAnsi="Arial" w:cs="Arial"/>
          <w:b/>
          <w:sz w:val="23"/>
          <w:szCs w:val="23"/>
          <w:lang w:eastAsia="pl-PL"/>
        </w:rPr>
        <w:lastRenderedPageBreak/>
        <w:t>11. Informacje o przeznaczeniu do sprzedaży, do oddania w użytkowanie wieczyste, użytkowanie, najem lub dzierżawę</w:t>
      </w:r>
      <w:r w:rsidRPr="007B6B54">
        <w:rPr>
          <w:rFonts w:ascii="Arial" w:eastAsiaTheme="minorEastAsia" w:hAnsi="Arial" w:cs="Arial"/>
          <w:bCs/>
          <w:sz w:val="23"/>
          <w:szCs w:val="23"/>
          <w:lang w:eastAsia="pl-PL"/>
        </w:rPr>
        <w:t>- nieruchomości przeznaczone do sprzedaży Uchwałą Nr XLVI/281/21 Rady Gminy Lubochnia z dnia 12 listopada 2021 r. w sprawie przeznaczenia do sprzedaży nieruchomości gruntowych stanowiących własność Gminy Lubochnia.</w:t>
      </w:r>
    </w:p>
    <w:p w14:paraId="1A785ACD" w14:textId="77777777" w:rsidR="007B6B54" w:rsidRPr="007B6B54" w:rsidRDefault="007B6B54" w:rsidP="007B6B54">
      <w:pPr>
        <w:spacing w:before="240" w:after="200" w:line="360" w:lineRule="auto"/>
        <w:rPr>
          <w:rFonts w:ascii="Arial" w:eastAsia="Times New Roman" w:hAnsi="Arial" w:cs="Arial"/>
          <w:bCs/>
          <w:sz w:val="23"/>
          <w:szCs w:val="23"/>
          <w:lang w:eastAsia="pl-PL"/>
        </w:rPr>
      </w:pPr>
      <w:r w:rsidRPr="007B6B54">
        <w:rPr>
          <w:rFonts w:ascii="Arial" w:eastAsiaTheme="minorEastAsia" w:hAnsi="Arial" w:cs="Arial"/>
          <w:b/>
          <w:sz w:val="23"/>
          <w:szCs w:val="23"/>
          <w:lang w:eastAsia="pl-PL"/>
        </w:rPr>
        <w:t xml:space="preserve">12. Termin złożenia wniosku przez osoby którym przysługuje pierwszeństwo w nabyciu przedmiotowej nieruchomości </w:t>
      </w:r>
      <w:r w:rsidRPr="007B6B54">
        <w:rPr>
          <w:rFonts w:ascii="Arial" w:eastAsiaTheme="minorEastAsia" w:hAnsi="Arial" w:cs="Arial"/>
          <w:bCs/>
          <w:sz w:val="23"/>
          <w:szCs w:val="23"/>
          <w:lang w:eastAsia="pl-PL"/>
        </w:rPr>
        <w:t>- osoby, którym stosownie do art. 34 ust. 1 i 2 ustawy z dnia 21 sierpnia 1997 r. o gospodarce nieruchomościami  (</w:t>
      </w:r>
      <w:proofErr w:type="spellStart"/>
      <w:r w:rsidRPr="007B6B54">
        <w:rPr>
          <w:rFonts w:ascii="Arial" w:eastAsiaTheme="minorEastAsia" w:hAnsi="Arial" w:cs="Arial"/>
          <w:bCs/>
          <w:sz w:val="23"/>
          <w:szCs w:val="23"/>
          <w:lang w:eastAsia="pl-PL"/>
        </w:rPr>
        <w:t>T.j</w:t>
      </w:r>
      <w:proofErr w:type="spellEnd"/>
      <w:r w:rsidRPr="007B6B54">
        <w:rPr>
          <w:rFonts w:ascii="Arial" w:eastAsiaTheme="minorEastAsia" w:hAnsi="Arial" w:cs="Arial"/>
          <w:bCs/>
          <w:sz w:val="23"/>
          <w:szCs w:val="23"/>
          <w:lang w:eastAsia="pl-PL"/>
        </w:rPr>
        <w:t>. Dz. U. z 2021 r. poz. 1899; zm.: Dz. U. z 2021 r. poz. 815</w:t>
      </w:r>
      <w:r w:rsidRPr="007B6B54">
        <w:rPr>
          <w:rFonts w:ascii="Arial" w:eastAsia="Times New Roman" w:hAnsi="Arial" w:cs="Arial"/>
          <w:bCs/>
          <w:sz w:val="23"/>
          <w:szCs w:val="23"/>
          <w:lang w:eastAsia="pl-PL"/>
        </w:rPr>
        <w:t xml:space="preserve">) przysługuje pierwszeństwo w nabyciu nieruchomości, mogą złożyć wniosek o jej nabycie w Urzędzie Gminy Lubochnia </w:t>
      </w:r>
      <w:r w:rsidRPr="007B6B54">
        <w:rPr>
          <w:rFonts w:ascii="Arial" w:eastAsia="Times New Roman" w:hAnsi="Arial" w:cs="Arial"/>
          <w:bCs/>
          <w:sz w:val="23"/>
          <w:szCs w:val="23"/>
          <w:lang w:eastAsia="pl-PL"/>
        </w:rPr>
        <w:br/>
        <w:t>w terminie 6 tygodni licząc od dnia wywieszenia niniejszego wykazu.</w:t>
      </w:r>
    </w:p>
    <w:p w14:paraId="16402E83" w14:textId="77777777" w:rsidR="007B6B54" w:rsidRPr="007B6B54" w:rsidRDefault="007B6B54" w:rsidP="007B6B54">
      <w:pPr>
        <w:spacing w:after="0" w:line="240" w:lineRule="auto"/>
        <w:rPr>
          <w:rFonts w:ascii="Arial" w:eastAsiaTheme="minorEastAsia" w:hAnsi="Arial" w:cs="Arial"/>
          <w:b/>
          <w:sz w:val="24"/>
          <w:szCs w:val="24"/>
          <w:lang w:eastAsia="pl-PL"/>
        </w:rPr>
      </w:pPr>
      <w:r w:rsidRPr="007B6B54">
        <w:rPr>
          <w:rFonts w:ascii="Arial" w:eastAsiaTheme="minorEastAsia" w:hAnsi="Arial" w:cs="Arial"/>
          <w:b/>
          <w:sz w:val="24"/>
          <w:szCs w:val="24"/>
          <w:lang w:eastAsia="pl-PL"/>
        </w:rPr>
        <w:t>II.</w:t>
      </w:r>
    </w:p>
    <w:p w14:paraId="3745085E" w14:textId="77777777" w:rsidR="007B6B54" w:rsidRPr="007B6B54" w:rsidRDefault="007B6B54" w:rsidP="007B6B54">
      <w:pPr>
        <w:keepNext/>
        <w:keepLines/>
        <w:spacing w:before="240" w:after="200" w:line="276" w:lineRule="auto"/>
        <w:outlineLvl w:val="2"/>
        <w:rPr>
          <w:rFonts w:ascii="Arial" w:eastAsiaTheme="majorEastAsia" w:hAnsi="Arial" w:cstheme="majorBidi"/>
          <w:bCs/>
          <w:sz w:val="23"/>
          <w:szCs w:val="24"/>
          <w:lang w:eastAsia="pl-PL"/>
        </w:rPr>
      </w:pPr>
      <w:r w:rsidRPr="007B6B54">
        <w:rPr>
          <w:rFonts w:ascii="Arial" w:eastAsiaTheme="majorEastAsia" w:hAnsi="Arial" w:cstheme="majorBidi"/>
          <w:b/>
          <w:sz w:val="23"/>
          <w:szCs w:val="24"/>
          <w:lang w:eastAsia="pl-PL"/>
        </w:rPr>
        <w:t>1.Oznaczenie nieruchomości zgodnie z katastrem nieruchomości i księgą wieczystą</w:t>
      </w:r>
      <w:r w:rsidRPr="007B6B54">
        <w:rPr>
          <w:rFonts w:ascii="Arial" w:eastAsiaTheme="majorEastAsia" w:hAnsi="Arial" w:cstheme="majorBidi"/>
          <w:bCs/>
          <w:sz w:val="23"/>
          <w:szCs w:val="24"/>
          <w:lang w:eastAsia="pl-PL"/>
        </w:rPr>
        <w:t xml:space="preserve">- </w:t>
      </w:r>
      <w:r w:rsidRPr="007B6B54">
        <w:rPr>
          <w:rFonts w:ascii="Arial" w:eastAsiaTheme="majorEastAsia" w:hAnsi="Arial" w:cs="Arial"/>
          <w:bCs/>
          <w:sz w:val="23"/>
          <w:szCs w:val="23"/>
          <w:lang w:eastAsia="pl-PL"/>
        </w:rPr>
        <w:t xml:space="preserve">Nieruchomość oznaczona nr dz. 136/3 o pow. 0,43 ha, obręb geodezyjny 0008-Glinnik Nowy, jednostce ewidencyjnej Lubochnia, gmina Lubochnia, powiat tomaszowski, dla której w Sądzie Rejonowym w Tomaszowie </w:t>
      </w:r>
      <w:proofErr w:type="spellStart"/>
      <w:r w:rsidRPr="007B6B54">
        <w:rPr>
          <w:rFonts w:ascii="Arial" w:eastAsiaTheme="majorEastAsia" w:hAnsi="Arial" w:cs="Arial"/>
          <w:bCs/>
          <w:sz w:val="23"/>
          <w:szCs w:val="23"/>
          <w:lang w:eastAsia="pl-PL"/>
        </w:rPr>
        <w:t>Maz</w:t>
      </w:r>
      <w:proofErr w:type="spellEnd"/>
      <w:r w:rsidRPr="007B6B54">
        <w:rPr>
          <w:rFonts w:ascii="Arial" w:eastAsiaTheme="majorEastAsia" w:hAnsi="Arial" w:cs="Arial"/>
          <w:bCs/>
          <w:sz w:val="23"/>
          <w:szCs w:val="23"/>
          <w:lang w:eastAsia="pl-PL"/>
        </w:rPr>
        <w:t>., V Wydziale Ksiąg Wieczystych prowadzona księga wieczysta nr PT1T/00055956/5, rodzaj użytku R.</w:t>
      </w:r>
    </w:p>
    <w:p w14:paraId="6E5EE180" w14:textId="77777777" w:rsidR="007B6B54" w:rsidRPr="007B6B54" w:rsidRDefault="007B6B54" w:rsidP="007B6B54">
      <w:pPr>
        <w:spacing w:before="240" w:after="200" w:line="360" w:lineRule="auto"/>
        <w:rPr>
          <w:rFonts w:ascii="Arial" w:eastAsiaTheme="minorEastAsia" w:hAnsi="Arial" w:cs="Arial"/>
          <w:bCs/>
          <w:sz w:val="23"/>
          <w:szCs w:val="23"/>
          <w:lang w:eastAsia="pl-PL"/>
        </w:rPr>
      </w:pPr>
      <w:r w:rsidRPr="007B6B54">
        <w:rPr>
          <w:rFonts w:ascii="Arial" w:eastAsiaTheme="majorEastAsia" w:hAnsi="Arial" w:cstheme="majorBidi"/>
          <w:b/>
          <w:sz w:val="23"/>
          <w:szCs w:val="24"/>
          <w:lang w:eastAsia="pl-PL"/>
        </w:rPr>
        <w:t>2. Powierzchnia nieruchomości</w:t>
      </w:r>
      <w:r w:rsidRPr="007B6B54">
        <w:rPr>
          <w:rFonts w:ascii="Arial" w:eastAsiaTheme="minorEastAsia" w:hAnsi="Arial" w:cs="Arial"/>
          <w:bCs/>
          <w:sz w:val="23"/>
          <w:szCs w:val="23"/>
          <w:lang w:eastAsia="pl-PL"/>
        </w:rPr>
        <w:t xml:space="preserve"> – 0,43 ha.</w:t>
      </w:r>
    </w:p>
    <w:p w14:paraId="48FDE628" w14:textId="77777777" w:rsidR="007B6B54" w:rsidRPr="007B6B54" w:rsidRDefault="007B6B54" w:rsidP="007B6B54">
      <w:pPr>
        <w:spacing w:before="240" w:after="200" w:line="360" w:lineRule="auto"/>
        <w:rPr>
          <w:rFonts w:ascii="Arial" w:eastAsiaTheme="minorEastAsia" w:hAnsi="Arial" w:cs="Arial"/>
          <w:bCs/>
          <w:sz w:val="23"/>
          <w:szCs w:val="23"/>
          <w:lang w:eastAsia="pl-PL"/>
        </w:rPr>
      </w:pPr>
      <w:r w:rsidRPr="007B6B54">
        <w:rPr>
          <w:rFonts w:ascii="Arial" w:eastAsiaTheme="majorEastAsia" w:hAnsi="Arial" w:cstheme="majorBidi"/>
          <w:b/>
          <w:sz w:val="23"/>
          <w:szCs w:val="24"/>
          <w:lang w:eastAsia="pl-PL"/>
        </w:rPr>
        <w:t>3. Opis nieruchomości</w:t>
      </w:r>
      <w:r w:rsidRPr="007B6B54">
        <w:rPr>
          <w:rFonts w:ascii="Arial" w:eastAsiaTheme="minorEastAsia" w:hAnsi="Arial" w:cs="Arial"/>
          <w:bCs/>
          <w:sz w:val="23"/>
          <w:szCs w:val="23"/>
          <w:lang w:eastAsia="pl-PL"/>
        </w:rPr>
        <w:t xml:space="preserve"> – Jest to nieruchomość niezabudowana, klasa gruntu </w:t>
      </w:r>
      <w:proofErr w:type="spellStart"/>
      <w:r w:rsidRPr="007B6B54">
        <w:rPr>
          <w:rFonts w:ascii="Arial" w:eastAsiaTheme="minorEastAsia" w:hAnsi="Arial" w:cs="Arial"/>
          <w:bCs/>
          <w:sz w:val="23"/>
          <w:szCs w:val="23"/>
          <w:lang w:eastAsia="pl-PL"/>
        </w:rPr>
        <w:t>IVb</w:t>
      </w:r>
      <w:proofErr w:type="spellEnd"/>
      <w:r w:rsidRPr="007B6B54">
        <w:rPr>
          <w:rFonts w:ascii="Arial" w:eastAsiaTheme="minorEastAsia" w:hAnsi="Arial" w:cs="Arial"/>
          <w:bCs/>
          <w:sz w:val="23"/>
          <w:szCs w:val="23"/>
          <w:lang w:eastAsia="pl-PL"/>
        </w:rPr>
        <w:t xml:space="preserve">, V, użytkowana rolniczo, w kształcie prostokąta, nieogrodzona. Nie posiada podłączenia do sieci wodociągowej i energetycznej. Działka posiada dostęp do drogi gminnej. </w:t>
      </w:r>
    </w:p>
    <w:p w14:paraId="4F7373B5" w14:textId="77777777" w:rsidR="007B6B54" w:rsidRPr="007B6B54" w:rsidRDefault="007B6B54" w:rsidP="007B6B54">
      <w:pPr>
        <w:spacing w:before="240" w:after="0" w:line="360" w:lineRule="auto"/>
        <w:rPr>
          <w:rFonts w:ascii="Arial" w:eastAsiaTheme="minorEastAsia" w:hAnsi="Arial" w:cs="Arial"/>
          <w:bCs/>
          <w:sz w:val="23"/>
          <w:szCs w:val="23"/>
          <w:lang w:eastAsia="pl-PL"/>
        </w:rPr>
      </w:pPr>
      <w:r w:rsidRPr="007B6B54">
        <w:rPr>
          <w:rFonts w:ascii="Arial" w:eastAsiaTheme="majorEastAsia" w:hAnsi="Arial" w:cstheme="majorBidi"/>
          <w:b/>
          <w:sz w:val="23"/>
          <w:szCs w:val="24"/>
          <w:lang w:eastAsia="pl-PL"/>
        </w:rPr>
        <w:t>4. Przeznaczenie nieruchomości i sposób jej zagospodarowania</w:t>
      </w:r>
      <w:r w:rsidRPr="007B6B54">
        <w:rPr>
          <w:rFonts w:ascii="Arial" w:eastAsiaTheme="minorEastAsia" w:hAnsi="Arial" w:cs="Arial"/>
          <w:bCs/>
          <w:sz w:val="23"/>
          <w:szCs w:val="23"/>
          <w:lang w:eastAsia="pl-PL"/>
        </w:rPr>
        <w:t xml:space="preserve"> – brak miejscowego planu zagospodarowania przestrzennego. Zgodnie ze Studium uwarunkowań i kierunków zagospodarowania przestrzennego działka oznaczona jako </w:t>
      </w:r>
      <w:r w:rsidRPr="007B6B54">
        <w:rPr>
          <w:rFonts w:ascii="Arial" w:eastAsiaTheme="minorEastAsia" w:hAnsi="Arial" w:cs="Arial"/>
          <w:bCs/>
          <w:sz w:val="23"/>
          <w:szCs w:val="23"/>
          <w:lang w:eastAsia="pl-PL"/>
        </w:rPr>
        <w:br/>
        <w:t>R- teren o dominującym przeznaczeniu pod użytki rolne z zakazem zabudowy.</w:t>
      </w:r>
    </w:p>
    <w:p w14:paraId="1B2AC52B" w14:textId="77777777" w:rsidR="007B6B54" w:rsidRPr="007B6B54" w:rsidRDefault="007B6B54" w:rsidP="007B6B54">
      <w:pPr>
        <w:spacing w:before="240" w:after="0" w:line="360" w:lineRule="auto"/>
        <w:rPr>
          <w:rFonts w:ascii="Arial" w:eastAsiaTheme="minorEastAsia" w:hAnsi="Arial" w:cs="Arial"/>
          <w:bCs/>
          <w:sz w:val="23"/>
          <w:szCs w:val="23"/>
          <w:lang w:eastAsia="pl-PL"/>
        </w:rPr>
      </w:pPr>
      <w:r w:rsidRPr="007B6B54">
        <w:rPr>
          <w:rFonts w:ascii="Arial" w:eastAsiaTheme="minorEastAsia" w:hAnsi="Arial" w:cs="Arial"/>
          <w:b/>
          <w:sz w:val="23"/>
          <w:szCs w:val="23"/>
          <w:lang w:eastAsia="pl-PL"/>
        </w:rPr>
        <w:t>5. Termin zagospodarowania nieruchomości</w:t>
      </w:r>
      <w:r w:rsidRPr="007B6B54">
        <w:rPr>
          <w:rFonts w:ascii="Arial" w:eastAsiaTheme="minorEastAsia" w:hAnsi="Arial" w:cs="Arial"/>
          <w:bCs/>
          <w:sz w:val="23"/>
          <w:szCs w:val="23"/>
          <w:lang w:eastAsia="pl-PL"/>
        </w:rPr>
        <w:t>- nie dotyczy</w:t>
      </w:r>
    </w:p>
    <w:p w14:paraId="52DAB100" w14:textId="77777777" w:rsidR="007B6B54" w:rsidRPr="007B6B54" w:rsidRDefault="007B6B54" w:rsidP="007B6B54">
      <w:pPr>
        <w:spacing w:before="240" w:after="200" w:line="360" w:lineRule="auto"/>
        <w:rPr>
          <w:rFonts w:ascii="Arial" w:eastAsiaTheme="minorEastAsia" w:hAnsi="Arial" w:cs="Arial"/>
          <w:bCs/>
          <w:sz w:val="23"/>
          <w:szCs w:val="23"/>
          <w:lang w:eastAsia="pl-PL"/>
        </w:rPr>
      </w:pPr>
      <w:r w:rsidRPr="007B6B54">
        <w:rPr>
          <w:rFonts w:ascii="Arial" w:eastAsiaTheme="minorEastAsia" w:hAnsi="Arial" w:cs="Arial"/>
          <w:b/>
          <w:sz w:val="23"/>
          <w:szCs w:val="23"/>
          <w:lang w:eastAsia="pl-PL"/>
        </w:rPr>
        <w:t xml:space="preserve">6. Cena nieruchomości </w:t>
      </w:r>
      <w:r w:rsidRPr="007B6B54">
        <w:rPr>
          <w:rFonts w:ascii="Arial" w:eastAsiaTheme="minorEastAsia" w:hAnsi="Arial" w:cs="Arial"/>
          <w:bCs/>
          <w:sz w:val="23"/>
          <w:szCs w:val="23"/>
          <w:lang w:eastAsia="pl-PL"/>
        </w:rPr>
        <w:t xml:space="preserve">- </w:t>
      </w:r>
      <w:r w:rsidRPr="007B6B54">
        <w:rPr>
          <w:rFonts w:ascii="Arial" w:eastAsiaTheme="minorEastAsia" w:hAnsi="Arial" w:cs="Arial"/>
          <w:b/>
          <w:sz w:val="23"/>
          <w:szCs w:val="23"/>
          <w:lang w:eastAsia="pl-PL"/>
        </w:rPr>
        <w:t>12.898,00 zł</w:t>
      </w:r>
      <w:r w:rsidRPr="007B6B54">
        <w:rPr>
          <w:rFonts w:ascii="Arial" w:eastAsiaTheme="minorEastAsia" w:hAnsi="Arial" w:cs="Arial"/>
          <w:bCs/>
          <w:sz w:val="23"/>
          <w:szCs w:val="23"/>
          <w:lang w:eastAsia="pl-PL"/>
        </w:rPr>
        <w:t xml:space="preserve"> (słownie: dwanaście tysięcy osiemset dziewięćdziesiąt osiem złotych).</w:t>
      </w:r>
    </w:p>
    <w:p w14:paraId="2AC5378D" w14:textId="77777777" w:rsidR="007B6B54" w:rsidRPr="007B6B54" w:rsidRDefault="007B6B54" w:rsidP="007B6B54">
      <w:pPr>
        <w:spacing w:before="240" w:after="200" w:line="360" w:lineRule="auto"/>
        <w:rPr>
          <w:rFonts w:ascii="Arial" w:eastAsiaTheme="minorEastAsia" w:hAnsi="Arial" w:cs="Arial"/>
          <w:bCs/>
          <w:sz w:val="23"/>
          <w:szCs w:val="23"/>
          <w:lang w:eastAsia="pl-PL"/>
        </w:rPr>
      </w:pPr>
      <w:r w:rsidRPr="007B6B54">
        <w:rPr>
          <w:rFonts w:ascii="Arial" w:eastAsiaTheme="minorEastAsia" w:hAnsi="Arial" w:cs="Arial"/>
          <w:b/>
          <w:sz w:val="23"/>
          <w:szCs w:val="23"/>
          <w:lang w:eastAsia="pl-PL"/>
        </w:rPr>
        <w:t>7. Wysokość stawek procentowych opłat z tytułu użytkowania wieczystego</w:t>
      </w:r>
      <w:r w:rsidRPr="007B6B54">
        <w:rPr>
          <w:rFonts w:ascii="Arial" w:eastAsiaTheme="minorEastAsia" w:hAnsi="Arial" w:cs="Arial"/>
          <w:bCs/>
          <w:sz w:val="23"/>
          <w:szCs w:val="23"/>
          <w:lang w:eastAsia="pl-PL"/>
        </w:rPr>
        <w:t>- nie dotyczy</w:t>
      </w:r>
    </w:p>
    <w:p w14:paraId="6AF0DAEF" w14:textId="77777777" w:rsidR="007B6B54" w:rsidRPr="007B6B54" w:rsidRDefault="007B6B54" w:rsidP="007B6B54">
      <w:pPr>
        <w:spacing w:before="240" w:after="200" w:line="360" w:lineRule="auto"/>
        <w:rPr>
          <w:rFonts w:ascii="Arial" w:eastAsiaTheme="minorEastAsia" w:hAnsi="Arial" w:cs="Arial"/>
          <w:bCs/>
          <w:sz w:val="23"/>
          <w:szCs w:val="23"/>
          <w:lang w:eastAsia="pl-PL"/>
        </w:rPr>
      </w:pPr>
      <w:r w:rsidRPr="007B6B54">
        <w:rPr>
          <w:rFonts w:ascii="Arial" w:eastAsiaTheme="minorEastAsia" w:hAnsi="Arial" w:cs="Arial"/>
          <w:b/>
          <w:sz w:val="23"/>
          <w:szCs w:val="23"/>
          <w:lang w:eastAsia="pl-PL"/>
        </w:rPr>
        <w:t>8. Wysokość opłat z tytułu użytkowania, najmu lub dzierżawy</w:t>
      </w:r>
      <w:r w:rsidRPr="007B6B54">
        <w:rPr>
          <w:rFonts w:ascii="Arial" w:eastAsiaTheme="minorEastAsia" w:hAnsi="Arial" w:cs="Arial"/>
          <w:bCs/>
          <w:sz w:val="23"/>
          <w:szCs w:val="23"/>
          <w:lang w:eastAsia="pl-PL"/>
        </w:rPr>
        <w:t>- nie dotyczy</w:t>
      </w:r>
    </w:p>
    <w:p w14:paraId="350C044D" w14:textId="77777777" w:rsidR="007B6B54" w:rsidRPr="007B6B54" w:rsidRDefault="007B6B54" w:rsidP="007B6B54">
      <w:pPr>
        <w:spacing w:before="240" w:after="200" w:line="360" w:lineRule="auto"/>
        <w:rPr>
          <w:rFonts w:ascii="Arial" w:eastAsiaTheme="minorEastAsia" w:hAnsi="Arial" w:cs="Arial"/>
          <w:bCs/>
          <w:sz w:val="23"/>
          <w:szCs w:val="23"/>
          <w:lang w:eastAsia="pl-PL"/>
        </w:rPr>
      </w:pPr>
      <w:r w:rsidRPr="007B6B54">
        <w:rPr>
          <w:rFonts w:ascii="Arial" w:eastAsiaTheme="minorEastAsia" w:hAnsi="Arial" w:cs="Arial"/>
          <w:b/>
          <w:sz w:val="23"/>
          <w:szCs w:val="23"/>
          <w:lang w:eastAsia="pl-PL"/>
        </w:rPr>
        <w:lastRenderedPageBreak/>
        <w:t>9. Terminy wnoszenia opłat-</w:t>
      </w:r>
      <w:r w:rsidRPr="007B6B54">
        <w:rPr>
          <w:rFonts w:ascii="Arial" w:eastAsiaTheme="minorEastAsia" w:hAnsi="Arial" w:cs="Arial"/>
          <w:bCs/>
          <w:sz w:val="23"/>
          <w:szCs w:val="23"/>
          <w:lang w:eastAsia="pl-PL"/>
        </w:rPr>
        <w:t xml:space="preserve"> nie dotyczy</w:t>
      </w:r>
    </w:p>
    <w:p w14:paraId="290DD305" w14:textId="77777777" w:rsidR="007B6B54" w:rsidRPr="007B6B54" w:rsidRDefault="007B6B54" w:rsidP="007B6B54">
      <w:pPr>
        <w:spacing w:before="240" w:after="200" w:line="360" w:lineRule="auto"/>
        <w:rPr>
          <w:rFonts w:ascii="Arial" w:eastAsiaTheme="minorEastAsia" w:hAnsi="Arial" w:cs="Arial"/>
          <w:bCs/>
          <w:sz w:val="23"/>
          <w:szCs w:val="23"/>
          <w:lang w:eastAsia="pl-PL"/>
        </w:rPr>
      </w:pPr>
      <w:r w:rsidRPr="007B6B54">
        <w:rPr>
          <w:rFonts w:ascii="Arial" w:eastAsiaTheme="minorEastAsia" w:hAnsi="Arial" w:cs="Arial"/>
          <w:b/>
          <w:sz w:val="23"/>
          <w:szCs w:val="23"/>
          <w:lang w:eastAsia="pl-PL"/>
        </w:rPr>
        <w:t>10. Zasady aktualizacji opłat</w:t>
      </w:r>
      <w:r w:rsidRPr="007B6B54">
        <w:rPr>
          <w:rFonts w:ascii="Arial" w:eastAsiaTheme="minorEastAsia" w:hAnsi="Arial" w:cs="Arial"/>
          <w:bCs/>
          <w:sz w:val="23"/>
          <w:szCs w:val="23"/>
          <w:lang w:eastAsia="pl-PL"/>
        </w:rPr>
        <w:t>- nie dotyczy</w:t>
      </w:r>
    </w:p>
    <w:p w14:paraId="12652084" w14:textId="77777777" w:rsidR="007B6B54" w:rsidRPr="007B6B54" w:rsidRDefault="007B6B54" w:rsidP="007B6B54">
      <w:pPr>
        <w:spacing w:before="240" w:after="200" w:line="360" w:lineRule="auto"/>
        <w:rPr>
          <w:rFonts w:ascii="Arial" w:eastAsiaTheme="minorEastAsia" w:hAnsi="Arial" w:cs="Arial"/>
          <w:bCs/>
          <w:i/>
          <w:sz w:val="23"/>
          <w:szCs w:val="23"/>
          <w:lang w:eastAsia="pl-PL"/>
        </w:rPr>
      </w:pPr>
      <w:r w:rsidRPr="007B6B54">
        <w:rPr>
          <w:rFonts w:ascii="Arial" w:eastAsiaTheme="minorEastAsia" w:hAnsi="Arial" w:cs="Arial"/>
          <w:b/>
          <w:sz w:val="23"/>
          <w:szCs w:val="23"/>
          <w:lang w:eastAsia="pl-PL"/>
        </w:rPr>
        <w:t>11. Informacje o przeznaczeniu do sprzedaży, do oddania w użytkowanie wieczyste, użytkowanie, najem lub dzierżawę</w:t>
      </w:r>
      <w:r w:rsidRPr="007B6B54">
        <w:rPr>
          <w:rFonts w:ascii="Arial" w:eastAsiaTheme="minorEastAsia" w:hAnsi="Arial" w:cs="Arial"/>
          <w:bCs/>
          <w:sz w:val="23"/>
          <w:szCs w:val="23"/>
          <w:lang w:eastAsia="pl-PL"/>
        </w:rPr>
        <w:t>- przeznaczenie do sprzedaży</w:t>
      </w:r>
    </w:p>
    <w:p w14:paraId="4C9D162F" w14:textId="77777777" w:rsidR="007B6B54" w:rsidRPr="007B6B54" w:rsidRDefault="007B6B54" w:rsidP="007B6B54">
      <w:pPr>
        <w:spacing w:before="240" w:after="200" w:line="360" w:lineRule="auto"/>
        <w:rPr>
          <w:rFonts w:ascii="Arial" w:eastAsia="Times New Roman" w:hAnsi="Arial" w:cs="Arial"/>
          <w:bCs/>
          <w:sz w:val="23"/>
          <w:szCs w:val="23"/>
          <w:lang w:eastAsia="pl-PL"/>
        </w:rPr>
      </w:pPr>
      <w:r w:rsidRPr="007B6B54">
        <w:rPr>
          <w:rFonts w:ascii="Arial" w:eastAsiaTheme="minorEastAsia" w:hAnsi="Arial" w:cs="Arial"/>
          <w:b/>
          <w:sz w:val="23"/>
          <w:szCs w:val="23"/>
          <w:lang w:eastAsia="pl-PL"/>
        </w:rPr>
        <w:t xml:space="preserve">12. Termin złożenia wniosku przez osoby którym przysługuje pierwszeństwo w nabyciu przedmiotowej nieruchomości </w:t>
      </w:r>
      <w:r w:rsidRPr="007B6B54">
        <w:rPr>
          <w:rFonts w:ascii="Arial" w:eastAsiaTheme="minorEastAsia" w:hAnsi="Arial" w:cs="Arial"/>
          <w:bCs/>
          <w:sz w:val="23"/>
          <w:szCs w:val="23"/>
          <w:lang w:eastAsia="pl-PL"/>
        </w:rPr>
        <w:t>- osoby, którym stosownie do art. 34 ust. 1 i 2 ustawy z dnia 21 sierpnia 1997 r. o gospodarce nieruchomościami  (</w:t>
      </w:r>
      <w:proofErr w:type="spellStart"/>
      <w:r w:rsidRPr="007B6B54">
        <w:rPr>
          <w:rFonts w:ascii="Arial" w:eastAsiaTheme="minorEastAsia" w:hAnsi="Arial" w:cs="Arial"/>
          <w:bCs/>
          <w:sz w:val="23"/>
          <w:szCs w:val="23"/>
          <w:lang w:eastAsia="pl-PL"/>
        </w:rPr>
        <w:t>T.j</w:t>
      </w:r>
      <w:proofErr w:type="spellEnd"/>
      <w:r w:rsidRPr="007B6B54">
        <w:rPr>
          <w:rFonts w:ascii="Arial" w:eastAsiaTheme="minorEastAsia" w:hAnsi="Arial" w:cs="Arial"/>
          <w:bCs/>
          <w:sz w:val="23"/>
          <w:szCs w:val="23"/>
          <w:lang w:eastAsia="pl-PL"/>
        </w:rPr>
        <w:t>. Dz. U. z 2021 r. poz. 1899; zm.: Dz. U. z 2021 r. poz. 815</w:t>
      </w:r>
      <w:r w:rsidRPr="007B6B54">
        <w:rPr>
          <w:rFonts w:ascii="Arial" w:eastAsia="Times New Roman" w:hAnsi="Arial" w:cs="Arial"/>
          <w:bCs/>
          <w:sz w:val="23"/>
          <w:szCs w:val="23"/>
          <w:lang w:eastAsia="pl-PL"/>
        </w:rPr>
        <w:t>) przysługuje pierwszeństwo w nabyciu nieruchomości, mogą złożyć wniosek o jej nabycie w Urzędzie Gminy Lubochnia w terminie 6 tygodni licząc od dnia wywieszenia niniejszego wykazu.</w:t>
      </w:r>
    </w:p>
    <w:p w14:paraId="33CD70E2" w14:textId="77777777" w:rsidR="00BF5A37" w:rsidRDefault="00BF5A37"/>
    <w:sectPr w:rsidR="00BF5A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0C0"/>
    <w:rsid w:val="006F50C0"/>
    <w:rsid w:val="007B6B54"/>
    <w:rsid w:val="00BF5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AF9D58-FAAD-43AD-A337-13732C600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621</Words>
  <Characters>3729</Characters>
  <Application>Microsoft Office Word</Application>
  <DocSecurity>0</DocSecurity>
  <Lines>31</Lines>
  <Paragraphs>8</Paragraphs>
  <ScaleCrop>false</ScaleCrop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 Lubochnia2</dc:creator>
  <cp:keywords/>
  <dc:description/>
  <cp:lastModifiedBy>UG Lubochnia2</cp:lastModifiedBy>
  <cp:revision>2</cp:revision>
  <dcterms:created xsi:type="dcterms:W3CDTF">2021-12-20T10:10:00Z</dcterms:created>
  <dcterms:modified xsi:type="dcterms:W3CDTF">2021-12-20T10:12:00Z</dcterms:modified>
</cp:coreProperties>
</file>